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55"/>
        </w:rPr>
      </w:pPr>
    </w:p>
    <w:p>
      <w:pPr>
        <w:spacing w:before="1"/>
        <w:ind w:left="154" w:right="0" w:firstLine="0"/>
        <w:jc w:val="left"/>
        <w:rPr>
          <w:b/>
          <w:sz w:val="44"/>
        </w:rPr>
      </w:pPr>
      <w:r>
        <w:rPr>
          <w:b/>
          <w:color w:val="2C6AB6"/>
          <w:sz w:val="44"/>
        </w:rPr>
        <w:t>LC GRAPHIDOX</w:t>
      </w:r>
    </w:p>
    <w:p>
      <w:pPr>
        <w:pStyle w:val="BodyText"/>
        <w:rPr>
          <w:b/>
          <w:sz w:val="48"/>
        </w:rPr>
      </w:pPr>
    </w:p>
    <w:p>
      <w:pPr>
        <w:pStyle w:val="Heading1"/>
        <w:spacing w:before="282"/>
      </w:pPr>
      <w:r>
        <w:rPr>
          <w:color w:val="2C6AB6"/>
        </w:rPr>
        <w:t>Aplicación</w:t>
      </w:r>
    </w:p>
    <w:p>
      <w:pPr>
        <w:pStyle w:val="Heading3"/>
        <w:spacing w:before="77"/>
        <w:ind w:left="125" w:firstLine="0"/>
      </w:pPr>
      <w:r>
        <w:rPr/>
        <w:br w:type="column"/>
      </w:r>
      <w:r>
        <w:rPr>
          <w:color w:val="808080"/>
        </w:rPr>
        <w:t>Información de producto </w:t>
      </w:r>
      <w:r>
        <w:rPr>
          <w:color w:val="1F487C"/>
        </w:rPr>
        <w:t>| </w:t>
      </w:r>
      <w:r>
        <w:rPr>
          <w:color w:val="808080"/>
        </w:rPr>
        <w:t>Metalurgia </w:t>
      </w:r>
      <w:r>
        <w:rPr>
          <w:color w:val="1F487C"/>
        </w:rPr>
        <w:t>| </w:t>
      </w:r>
      <w:r>
        <w:rPr>
          <w:color w:val="808080"/>
        </w:rPr>
        <w:t>1</w:t>
      </w:r>
    </w:p>
    <w:p>
      <w:pPr>
        <w:pStyle w:val="BodyText"/>
        <w:rPr>
          <w:sz w:val="22"/>
        </w:rPr>
      </w:pPr>
    </w:p>
    <w:p>
      <w:pPr>
        <w:spacing w:before="139"/>
        <w:ind w:left="1500" w:right="0" w:firstLine="0"/>
        <w:jc w:val="left"/>
        <w:rPr>
          <w:b/>
          <w:sz w:val="24"/>
        </w:rPr>
      </w:pPr>
      <w:r>
        <w:rPr>
          <w:b/>
          <w:color w:val="FFFFFF"/>
          <w:sz w:val="24"/>
        </w:rPr>
        <w:t>Inoculantes</w:t>
      </w:r>
    </w:p>
    <w:p>
      <w:pPr>
        <w:spacing w:after="0"/>
        <w:jc w:val="left"/>
        <w:rPr>
          <w:sz w:val="24"/>
        </w:rPr>
        <w:sectPr>
          <w:type w:val="continuous"/>
          <w:pgSz w:w="11910" w:h="16840"/>
          <w:pgMar w:top="60" w:bottom="0" w:left="1120" w:right="300"/>
          <w:cols w:num="2" w:equalWidth="0">
            <w:col w:w="3618" w:space="2897"/>
            <w:col w:w="3975"/>
          </w:cols>
        </w:sectPr>
      </w:pPr>
    </w:p>
    <w:p>
      <w:pPr>
        <w:pStyle w:val="BodyText"/>
        <w:spacing w:before="9"/>
        <w:rPr>
          <w:b/>
          <w:sz w:val="15"/>
        </w:rPr>
      </w:pPr>
    </w:p>
    <w:p>
      <w:pPr>
        <w:spacing w:after="0"/>
        <w:rPr>
          <w:sz w:val="15"/>
        </w:rPr>
        <w:sectPr>
          <w:type w:val="continuous"/>
          <w:pgSz w:w="11910" w:h="16840"/>
          <w:pgMar w:top="60" w:bottom="0" w:left="1120" w:right="300"/>
        </w:sectPr>
      </w:pPr>
    </w:p>
    <w:p>
      <w:pPr>
        <w:pStyle w:val="BodyText"/>
        <w:spacing w:line="278" w:lineRule="auto" w:before="115"/>
        <w:ind w:left="154" w:right="38"/>
        <w:jc w:val="both"/>
      </w:pPr>
      <w:r>
        <w:rPr>
          <w:color w:val="5F5F5F"/>
        </w:rPr>
        <w:t>El Ti y el Ca contenidos hacen de este producto un inoculante muy efectivo con propiedades desoxidantes y grafitizantes. Además el Ti retiene el N en la masa fundida evitando la formación de burbujas. De ese modo se evita la formación de burbujas en la pieza fundida por efecto del nitrógeno fijado.</w:t>
      </w:r>
    </w:p>
    <w:p>
      <w:pPr>
        <w:pStyle w:val="Heading1"/>
        <w:spacing w:before="165"/>
      </w:pPr>
      <w:r>
        <w:rPr>
          <w:color w:val="2C6AB6"/>
        </w:rPr>
        <w:t>Análisis</w:t>
      </w:r>
      <w:r>
        <w:rPr>
          <w:color w:val="2C6AB6"/>
          <w:spacing w:val="-5"/>
        </w:rPr>
        <w:t> </w:t>
      </w:r>
      <w:r>
        <w:rPr>
          <w:color w:val="2C6AB6"/>
        </w:rPr>
        <w:t>químico</w:t>
      </w:r>
    </w:p>
    <w:p>
      <w:pPr>
        <w:pStyle w:val="BodyText"/>
        <w:tabs>
          <w:tab w:pos="2173" w:val="right" w:leader="none"/>
        </w:tabs>
        <w:spacing w:before="294"/>
        <w:ind w:left="154"/>
      </w:pPr>
      <w:r>
        <w:rPr>
          <w:color w:val="5F5F5F"/>
        </w:rPr>
        <w:t>%</w:t>
      </w:r>
      <w:r>
        <w:rPr>
          <w:color w:val="5F5F5F"/>
          <w:spacing w:val="-1"/>
        </w:rPr>
        <w:t> </w:t>
      </w:r>
      <w:r>
        <w:rPr>
          <w:color w:val="5F5F5F"/>
        </w:rPr>
        <w:t>Si</w:t>
        <w:tab/>
        <w:t>50 –</w:t>
      </w:r>
      <w:r>
        <w:rPr>
          <w:color w:val="5F5F5F"/>
          <w:spacing w:val="-2"/>
        </w:rPr>
        <w:t> </w:t>
      </w:r>
      <w:r>
        <w:rPr>
          <w:color w:val="5F5F5F"/>
        </w:rPr>
        <w:t>55</w:t>
      </w:r>
    </w:p>
    <w:p>
      <w:pPr>
        <w:pStyle w:val="BodyText"/>
        <w:tabs>
          <w:tab w:pos="1573" w:val="left" w:leader="none"/>
        </w:tabs>
        <w:spacing w:before="33"/>
        <w:ind w:left="154"/>
      </w:pPr>
      <w:r>
        <w:rPr>
          <w:color w:val="5F5F5F"/>
        </w:rPr>
        <w:t>%</w:t>
      </w:r>
      <w:r>
        <w:rPr>
          <w:color w:val="5F5F5F"/>
          <w:spacing w:val="-1"/>
        </w:rPr>
        <w:t> </w:t>
      </w:r>
      <w:r>
        <w:rPr>
          <w:color w:val="5F5F5F"/>
        </w:rPr>
        <w:t>Ti</w:t>
        <w:tab/>
        <w:t>9,0 –</w:t>
      </w:r>
      <w:r>
        <w:rPr>
          <w:color w:val="5F5F5F"/>
          <w:spacing w:val="-1"/>
        </w:rPr>
        <w:t> </w:t>
      </w:r>
      <w:r>
        <w:rPr>
          <w:color w:val="5F5F5F"/>
        </w:rPr>
        <w:t>11,0</w:t>
      </w:r>
    </w:p>
    <w:p>
      <w:pPr>
        <w:pStyle w:val="BodyText"/>
        <w:tabs>
          <w:tab w:pos="1573" w:val="left" w:leader="none"/>
        </w:tabs>
        <w:spacing w:before="34"/>
        <w:ind w:left="154"/>
      </w:pPr>
      <w:r>
        <w:rPr>
          <w:color w:val="5F5F5F"/>
        </w:rPr>
        <w:t>%</w:t>
      </w:r>
      <w:r>
        <w:rPr>
          <w:color w:val="5F5F5F"/>
          <w:spacing w:val="-1"/>
        </w:rPr>
        <w:t> </w:t>
      </w:r>
      <w:r>
        <w:rPr>
          <w:color w:val="5F5F5F"/>
        </w:rPr>
        <w:t>Ca</w:t>
        <w:tab/>
        <w:t>0,5 –</w:t>
      </w:r>
      <w:r>
        <w:rPr>
          <w:color w:val="5F5F5F"/>
          <w:spacing w:val="-1"/>
        </w:rPr>
        <w:t> </w:t>
      </w:r>
      <w:r>
        <w:rPr>
          <w:color w:val="5F5F5F"/>
        </w:rPr>
        <w:t>1,5</w:t>
      </w:r>
    </w:p>
    <w:p>
      <w:pPr>
        <w:pStyle w:val="BodyText"/>
        <w:tabs>
          <w:tab w:pos="1573" w:val="left" w:leader="none"/>
        </w:tabs>
        <w:spacing w:before="33"/>
        <w:ind w:left="154"/>
      </w:pPr>
      <w:r>
        <w:rPr>
          <w:color w:val="5F5F5F"/>
        </w:rPr>
        <w:t>%</w:t>
      </w:r>
      <w:r>
        <w:rPr>
          <w:color w:val="5F5F5F"/>
          <w:spacing w:val="-1"/>
        </w:rPr>
        <w:t> </w:t>
      </w:r>
      <w:r>
        <w:rPr>
          <w:color w:val="5F5F5F"/>
        </w:rPr>
        <w:t>Al</w:t>
        <w:tab/>
        <w:t>0,5 –</w:t>
      </w:r>
      <w:r>
        <w:rPr>
          <w:color w:val="5F5F5F"/>
          <w:spacing w:val="-1"/>
        </w:rPr>
        <w:t> </w:t>
      </w:r>
      <w:r>
        <w:rPr>
          <w:color w:val="5F5F5F"/>
        </w:rPr>
        <w:t>1,5</w:t>
      </w:r>
    </w:p>
    <w:p>
      <w:pPr>
        <w:pStyle w:val="BodyText"/>
        <w:tabs>
          <w:tab w:pos="1573" w:val="left" w:leader="none"/>
        </w:tabs>
        <w:spacing w:before="33"/>
        <w:ind w:left="154"/>
      </w:pPr>
      <w:r>
        <w:rPr>
          <w:color w:val="5F5F5F"/>
        </w:rPr>
        <w:t>% Fe</w:t>
        <w:tab/>
        <w:t>Balance</w:t>
      </w:r>
    </w:p>
    <w:p>
      <w:pPr>
        <w:pStyle w:val="BodyText"/>
        <w:spacing w:before="2"/>
        <w:rPr>
          <w:sz w:val="17"/>
        </w:rPr>
      </w:pPr>
    </w:p>
    <w:p>
      <w:pPr>
        <w:pStyle w:val="Heading1"/>
      </w:pPr>
      <w:r>
        <w:rPr>
          <w:color w:val="2C6AB6"/>
        </w:rPr>
        <w:t>Adición</w:t>
      </w:r>
    </w:p>
    <w:p>
      <w:pPr>
        <w:pStyle w:val="BodyText"/>
        <w:spacing w:before="9"/>
        <w:rPr>
          <w:b/>
          <w:sz w:val="25"/>
        </w:rPr>
      </w:pPr>
    </w:p>
    <w:p>
      <w:pPr>
        <w:pStyle w:val="BodyText"/>
        <w:ind w:left="154"/>
      </w:pPr>
      <w:r>
        <w:rPr>
          <w:color w:val="5F5F5F"/>
        </w:rPr>
        <w:t>Usar entre un 0,1 y un 0,2 % p/p para inoculación en cuchara.</w:t>
      </w:r>
    </w:p>
    <w:p>
      <w:pPr>
        <w:pStyle w:val="BodyText"/>
        <w:spacing w:before="2"/>
        <w:rPr>
          <w:sz w:val="17"/>
        </w:rPr>
      </w:pPr>
    </w:p>
    <w:p>
      <w:pPr>
        <w:pStyle w:val="Heading1"/>
      </w:pPr>
      <w:r>
        <w:rPr>
          <w:color w:val="2C6AB6"/>
        </w:rPr>
        <w:t>Tamaños</w:t>
      </w:r>
    </w:p>
    <w:p>
      <w:pPr>
        <w:pStyle w:val="Heading2"/>
        <w:spacing w:before="93"/>
        <w:ind w:right="223"/>
      </w:pPr>
      <w:r>
        <w:rPr>
          <w:b w:val="0"/>
        </w:rPr>
        <w:br w:type="column"/>
      </w:r>
      <w:r>
        <w:rPr>
          <w:color w:val="2C6AB6"/>
        </w:rPr>
        <w:t>Características técnicas y ventajas económicas:</w:t>
      </w:r>
    </w:p>
    <w:p>
      <w:pPr>
        <w:pStyle w:val="BodyText"/>
        <w:spacing w:before="1"/>
        <w:rPr>
          <w:b/>
          <w:sz w:val="21"/>
        </w:rPr>
      </w:pPr>
    </w:p>
    <w:p>
      <w:pPr>
        <w:pStyle w:val="Heading3"/>
        <w:numPr>
          <w:ilvl w:val="0"/>
          <w:numId w:val="1"/>
        </w:numPr>
        <w:tabs>
          <w:tab w:pos="761" w:val="left" w:leader="none"/>
          <w:tab w:pos="762" w:val="left" w:leader="none"/>
        </w:tabs>
        <w:spacing w:line="240" w:lineRule="auto" w:before="0" w:after="0"/>
        <w:ind w:left="804" w:right="451" w:hanging="680"/>
        <w:jc w:val="left"/>
      </w:pPr>
      <w:r>
        <w:rPr>
          <w:color w:val="5F5F5F"/>
        </w:rPr>
        <w:t>Reduce el contenido </w:t>
      </w:r>
      <w:r>
        <w:rPr>
          <w:color w:val="5F5F5F"/>
          <w:spacing w:val="-7"/>
        </w:rPr>
        <w:t>de </w:t>
      </w:r>
      <w:r>
        <w:rPr>
          <w:color w:val="5F5F5F"/>
        </w:rPr>
        <w:t>nitrógeno</w:t>
      </w:r>
      <w:r>
        <w:rPr>
          <w:color w:val="5F5F5F"/>
          <w:spacing w:val="-2"/>
        </w:rPr>
        <w:t> </w:t>
      </w:r>
      <w:r>
        <w:rPr>
          <w:color w:val="5F5F5F"/>
        </w:rPr>
        <w:t>libre</w:t>
      </w:r>
    </w:p>
    <w:p>
      <w:pPr>
        <w:pStyle w:val="ListParagraph"/>
        <w:numPr>
          <w:ilvl w:val="0"/>
          <w:numId w:val="1"/>
        </w:numPr>
        <w:tabs>
          <w:tab w:pos="804" w:val="left" w:leader="none"/>
          <w:tab w:pos="805" w:val="left" w:leader="none"/>
        </w:tabs>
        <w:spacing w:line="240" w:lineRule="auto" w:before="120" w:after="0"/>
        <w:ind w:left="804" w:right="0" w:hanging="680"/>
        <w:jc w:val="left"/>
        <w:rPr>
          <w:sz w:val="20"/>
        </w:rPr>
      </w:pPr>
      <w:r>
        <w:rPr>
          <w:color w:val="5F5F5F"/>
          <w:sz w:val="20"/>
        </w:rPr>
        <w:t>Efecto</w:t>
      </w:r>
      <w:r>
        <w:rPr>
          <w:color w:val="5F5F5F"/>
          <w:spacing w:val="-2"/>
          <w:sz w:val="20"/>
        </w:rPr>
        <w:t> </w:t>
      </w:r>
      <w:r>
        <w:rPr>
          <w:color w:val="5F5F5F"/>
          <w:sz w:val="20"/>
        </w:rPr>
        <w:t>grafitizante</w:t>
      </w:r>
    </w:p>
    <w:p>
      <w:pPr>
        <w:pStyle w:val="ListParagraph"/>
        <w:numPr>
          <w:ilvl w:val="0"/>
          <w:numId w:val="1"/>
        </w:numPr>
        <w:tabs>
          <w:tab w:pos="804" w:val="left" w:leader="none"/>
          <w:tab w:pos="805" w:val="left" w:leader="none"/>
        </w:tabs>
        <w:spacing w:line="240" w:lineRule="auto" w:before="117" w:after="0"/>
        <w:ind w:left="804" w:right="0" w:hanging="680"/>
        <w:jc w:val="left"/>
        <w:rPr>
          <w:sz w:val="20"/>
        </w:rPr>
      </w:pPr>
      <w:r>
        <w:rPr>
          <w:color w:val="5F5F5F"/>
          <w:sz w:val="20"/>
        </w:rPr>
        <w:t>Microaleado con</w:t>
      </w:r>
      <w:r>
        <w:rPr>
          <w:color w:val="5F5F5F"/>
          <w:spacing w:val="-1"/>
          <w:sz w:val="20"/>
        </w:rPr>
        <w:t> </w:t>
      </w:r>
      <w:r>
        <w:rPr>
          <w:color w:val="5F5F5F"/>
          <w:sz w:val="20"/>
        </w:rPr>
        <w:t>titano</w:t>
      </w:r>
    </w:p>
    <w:p>
      <w:pPr>
        <w:pStyle w:val="ListParagraph"/>
        <w:numPr>
          <w:ilvl w:val="0"/>
          <w:numId w:val="1"/>
        </w:numPr>
        <w:tabs>
          <w:tab w:pos="804" w:val="left" w:leader="none"/>
          <w:tab w:pos="805" w:val="left" w:leader="none"/>
        </w:tabs>
        <w:spacing w:line="240" w:lineRule="auto" w:before="118" w:after="0"/>
        <w:ind w:left="804" w:right="0" w:hanging="680"/>
        <w:jc w:val="left"/>
        <w:rPr>
          <w:sz w:val="20"/>
        </w:rPr>
      </w:pPr>
      <w:r>
        <w:rPr>
          <w:color w:val="5F5F5F"/>
          <w:sz w:val="20"/>
        </w:rPr>
        <w:t>Bajo</w:t>
      </w:r>
      <w:r>
        <w:rPr>
          <w:color w:val="5F5F5F"/>
          <w:spacing w:val="-2"/>
          <w:sz w:val="20"/>
        </w:rPr>
        <w:t> </w:t>
      </w:r>
      <w:r>
        <w:rPr>
          <w:color w:val="5F5F5F"/>
          <w:sz w:val="20"/>
        </w:rPr>
        <w:t>consumo</w:t>
      </w:r>
    </w:p>
    <w:p>
      <w:pPr>
        <w:pStyle w:val="ListParagraph"/>
        <w:numPr>
          <w:ilvl w:val="0"/>
          <w:numId w:val="1"/>
        </w:numPr>
        <w:tabs>
          <w:tab w:pos="804" w:val="left" w:leader="none"/>
          <w:tab w:pos="805" w:val="left" w:leader="none"/>
        </w:tabs>
        <w:spacing w:line="235" w:lineRule="auto" w:before="124" w:after="0"/>
        <w:ind w:left="804" w:right="475" w:hanging="680"/>
        <w:jc w:val="left"/>
        <w:rPr>
          <w:sz w:val="20"/>
        </w:rPr>
      </w:pPr>
      <w:r>
        <w:rPr>
          <w:color w:val="5F5F5F"/>
          <w:sz w:val="20"/>
        </w:rPr>
        <w:t>Precipitación de grafito homogénea</w:t>
      </w:r>
    </w:p>
    <w:p>
      <w:pPr>
        <w:pStyle w:val="ListParagraph"/>
        <w:numPr>
          <w:ilvl w:val="0"/>
          <w:numId w:val="1"/>
        </w:numPr>
        <w:tabs>
          <w:tab w:pos="804" w:val="left" w:leader="none"/>
          <w:tab w:pos="805" w:val="left" w:leader="none"/>
        </w:tabs>
        <w:spacing w:line="240" w:lineRule="auto" w:before="123" w:after="0"/>
        <w:ind w:left="804" w:right="397" w:hanging="680"/>
        <w:jc w:val="left"/>
        <w:rPr>
          <w:sz w:val="20"/>
        </w:rPr>
      </w:pPr>
      <w:r>
        <w:rPr>
          <w:color w:val="5F5F5F"/>
          <w:sz w:val="20"/>
        </w:rPr>
        <w:t>Mejora de las propiedades</w:t>
      </w:r>
      <w:r>
        <w:rPr>
          <w:color w:val="5F5F5F"/>
          <w:spacing w:val="-14"/>
          <w:sz w:val="20"/>
        </w:rPr>
        <w:t> </w:t>
      </w:r>
      <w:r>
        <w:rPr>
          <w:color w:val="5F5F5F"/>
          <w:sz w:val="20"/>
        </w:rPr>
        <w:t>mecánicas</w:t>
      </w:r>
    </w:p>
    <w:p>
      <w:pPr>
        <w:spacing w:after="0" w:line="240" w:lineRule="auto"/>
        <w:jc w:val="left"/>
        <w:rPr>
          <w:sz w:val="20"/>
        </w:rPr>
        <w:sectPr>
          <w:type w:val="continuous"/>
          <w:pgSz w:w="11910" w:h="16840"/>
          <w:pgMar w:top="60" w:bottom="0" w:left="1120" w:right="300"/>
          <w:cols w:num="2" w:equalWidth="0">
            <w:col w:w="6857" w:space="316"/>
            <w:col w:w="3317"/>
          </w:cols>
        </w:sectPr>
      </w:pPr>
    </w:p>
    <w:p>
      <w:pPr>
        <w:pStyle w:val="BodyText"/>
        <w:spacing w:before="7"/>
        <w:rPr>
          <w:sz w:val="17"/>
        </w:rPr>
      </w:pPr>
      <w:r>
        <w:rPr/>
        <w:pict>
          <v:group style="position:absolute;margin-left:0pt;margin-top:0pt;width:595.3pt;height:813.4pt;mso-position-horizontal-relative:page;mso-position-vertical-relative:page;z-index:-251772928" coordorigin="0,0" coordsize="11906,16268">
            <v:shape style="position:absolute;left:0;top:0;width:11906;height:16268" type="#_x0000_t75" alt="ASK10060_Produktinfo_HG_Metallurgie.jpg" stroked="false">
              <v:imagedata r:id="rId5" o:title=""/>
            </v:shape>
            <v:line style="position:absolute" from="538,2079" to="7967,2079" stroked="true" strokeweight=".96pt" strokecolor="#7e7e7e">
              <v:stroke dashstyle="solid"/>
            </v:line>
            <v:line style="position:absolute" from="538,2381" to="7967,2381" stroked="true" strokeweight=".96pt" strokecolor="#7e7e7e">
              <v:stroke dashstyle="solid"/>
            </v:line>
            <v:line style="position:absolute" from="538,3800" to="7967,3800" stroked="true" strokeweight=".96001pt" strokecolor="#7e7e7e">
              <v:stroke dashstyle="solid"/>
            </v:line>
            <v:line style="position:absolute" from="538,4100" to="7967,4100" stroked="true" strokeweight=".96001pt" strokecolor="#7e7e7e">
              <v:stroke dashstyle="solid"/>
            </v:line>
            <v:line style="position:absolute" from="538,5759" to="7984,5759" stroked="true" strokeweight=".95999pt" strokecolor="#7e7e7e">
              <v:stroke dashstyle="solid"/>
            </v:line>
            <v:line style="position:absolute" from="538,6061" to="7984,6061" stroked="true" strokeweight=".96002pt" strokecolor="#7e7e7e">
              <v:stroke dashstyle="solid"/>
            </v:line>
            <v:line style="position:absolute" from="538,6759" to="7967,6759" stroked="true" strokeweight=".95999pt" strokecolor="#7e7e7e">
              <v:stroke dashstyle="solid"/>
            </v:line>
            <v:line style="position:absolute" from="538,7062" to="7967,7062" stroked="true" strokeweight=".95999pt" strokecolor="#7e7e7e">
              <v:stroke dashstyle="solid"/>
            </v:line>
            <v:line style="position:absolute" from="538,8720" to="7967,8720" stroked="true" strokeweight=".95999pt" strokecolor="#7e7e7e">
              <v:stroke dashstyle="solid"/>
            </v:line>
            <v:line style="position:absolute" from="538,9020" to="7967,9020" stroked="true" strokeweight=".95999pt" strokecolor="#7e7e7e">
              <v:stroke dashstyle="solid"/>
            </v:line>
            <v:line style="position:absolute" from="538,10441" to="7967,10441" stroked="true" strokeweight=".96002pt" strokecolor="#7e7e7e">
              <v:stroke dashstyle="solid"/>
            </v:line>
            <v:line style="position:absolute" from="538,10741" to="7967,10741" stroked="true" strokeweight=".96002pt" strokecolor="#7e7e7e">
              <v:stroke dashstyle="solid"/>
            </v:line>
            <w10:wrap type="none"/>
          </v:group>
        </w:pict>
      </w:r>
    </w:p>
    <w:p>
      <w:pPr>
        <w:pStyle w:val="BodyText"/>
        <w:tabs>
          <w:tab w:pos="1573" w:val="left" w:leader="none"/>
        </w:tabs>
        <w:spacing w:line="278" w:lineRule="auto" w:before="94"/>
        <w:ind w:left="125" w:right="6540"/>
      </w:pPr>
      <w:r>
        <w:rPr>
          <w:color w:val="5F5F5F"/>
        </w:rPr>
        <w:t>0,124 – 0,7 mm*  (para inoculación en vena) 0,3 –</w:t>
      </w:r>
      <w:r>
        <w:rPr>
          <w:color w:val="5F5F5F"/>
          <w:spacing w:val="-1"/>
        </w:rPr>
        <w:t> </w:t>
      </w:r>
      <w:r>
        <w:rPr>
          <w:color w:val="5F5F5F"/>
        </w:rPr>
        <w:t>6 mm</w:t>
        <w:tab/>
        <w:t>(para inoculación en</w:t>
      </w:r>
      <w:r>
        <w:rPr>
          <w:color w:val="5F5F5F"/>
          <w:spacing w:val="-10"/>
        </w:rPr>
        <w:t> </w:t>
      </w:r>
      <w:r>
        <w:rPr>
          <w:color w:val="5F5F5F"/>
        </w:rPr>
        <w:t>cuchara)</w:t>
      </w:r>
    </w:p>
    <w:p>
      <w:pPr>
        <w:pStyle w:val="BodyText"/>
        <w:spacing w:line="278" w:lineRule="auto"/>
        <w:ind w:left="104" w:right="4572"/>
      </w:pPr>
      <w:r>
        <w:rPr>
          <w:color w:val="5F5F5F"/>
        </w:rPr>
        <w:t>* En este tamaño, el nivel de Si se sitúa ligeramente por debajo del valor especificado anteriormente.</w:t>
      </w:r>
    </w:p>
    <w:p>
      <w:pPr>
        <w:pStyle w:val="BodyText"/>
        <w:rPr>
          <w:sz w:val="20"/>
        </w:rPr>
      </w:pPr>
    </w:p>
    <w:p>
      <w:pPr>
        <w:pStyle w:val="Heading1"/>
        <w:spacing w:before="174"/>
      </w:pPr>
      <w:r>
        <w:rPr>
          <w:color w:val="2C6AB6"/>
        </w:rPr>
        <w:t>Embalaje</w:t>
      </w:r>
    </w:p>
    <w:p>
      <w:pPr>
        <w:pStyle w:val="BodyText"/>
        <w:spacing w:before="6"/>
        <w:rPr>
          <w:b/>
          <w:sz w:val="17"/>
        </w:rPr>
      </w:pPr>
    </w:p>
    <w:p>
      <w:pPr>
        <w:pStyle w:val="ListParagraph"/>
        <w:numPr>
          <w:ilvl w:val="0"/>
          <w:numId w:val="2"/>
        </w:numPr>
        <w:tabs>
          <w:tab w:pos="328" w:val="left" w:leader="none"/>
        </w:tabs>
        <w:spacing w:line="240" w:lineRule="auto" w:before="94" w:after="0"/>
        <w:ind w:left="327" w:right="0" w:hanging="222"/>
        <w:jc w:val="left"/>
        <w:rPr>
          <w:sz w:val="18"/>
        </w:rPr>
      </w:pPr>
      <w:r>
        <w:rPr>
          <w:color w:val="5F5F5F"/>
          <w:sz w:val="18"/>
        </w:rPr>
        <w:t>25 kg sacos de papel sobre</w:t>
      </w:r>
      <w:r>
        <w:rPr>
          <w:color w:val="5F5F5F"/>
          <w:spacing w:val="-4"/>
          <w:sz w:val="18"/>
        </w:rPr>
        <w:t> </w:t>
      </w:r>
      <w:r>
        <w:rPr>
          <w:color w:val="5F5F5F"/>
          <w:sz w:val="18"/>
        </w:rPr>
        <w:t>palé</w:t>
      </w:r>
    </w:p>
    <w:p>
      <w:pPr>
        <w:pStyle w:val="ListParagraph"/>
        <w:numPr>
          <w:ilvl w:val="0"/>
          <w:numId w:val="2"/>
        </w:numPr>
        <w:tabs>
          <w:tab w:pos="328" w:val="left" w:leader="none"/>
        </w:tabs>
        <w:spacing w:line="240" w:lineRule="auto" w:before="33" w:after="0"/>
        <w:ind w:left="327" w:right="0" w:hanging="222"/>
        <w:jc w:val="left"/>
        <w:rPr>
          <w:sz w:val="18"/>
        </w:rPr>
      </w:pPr>
      <w:r>
        <w:rPr>
          <w:color w:val="5F5F5F"/>
          <w:sz w:val="18"/>
        </w:rPr>
        <w:t>150 kg bidones de acero sobre</w:t>
      </w:r>
      <w:r>
        <w:rPr>
          <w:color w:val="5F5F5F"/>
          <w:spacing w:val="-6"/>
          <w:sz w:val="18"/>
        </w:rPr>
        <w:t> </w:t>
      </w:r>
      <w:r>
        <w:rPr>
          <w:color w:val="5F5F5F"/>
          <w:sz w:val="18"/>
        </w:rPr>
        <w:t>palé</w:t>
      </w:r>
    </w:p>
    <w:p>
      <w:pPr>
        <w:pStyle w:val="ListParagraph"/>
        <w:numPr>
          <w:ilvl w:val="0"/>
          <w:numId w:val="2"/>
        </w:numPr>
        <w:tabs>
          <w:tab w:pos="328" w:val="left" w:leader="none"/>
        </w:tabs>
        <w:spacing w:line="240" w:lineRule="auto" w:before="33" w:after="0"/>
        <w:ind w:left="327" w:right="0" w:hanging="222"/>
        <w:jc w:val="left"/>
        <w:rPr>
          <w:sz w:val="18"/>
        </w:rPr>
      </w:pPr>
      <w:r>
        <w:rPr>
          <w:color w:val="5F5F5F"/>
          <w:sz w:val="18"/>
        </w:rPr>
        <w:t>1000 kg big bags sobre</w:t>
      </w:r>
      <w:r>
        <w:rPr>
          <w:color w:val="5F5F5F"/>
          <w:spacing w:val="-8"/>
          <w:sz w:val="18"/>
        </w:rPr>
        <w:t> </w:t>
      </w:r>
      <w:r>
        <w:rPr>
          <w:color w:val="5F5F5F"/>
          <w:sz w:val="18"/>
        </w:rPr>
        <w:t>palé</w:t>
      </w:r>
    </w:p>
    <w:p>
      <w:pPr>
        <w:pStyle w:val="BodyText"/>
        <w:spacing w:before="33"/>
        <w:ind w:left="125"/>
      </w:pPr>
      <w:r>
        <w:rPr>
          <w:color w:val="5F5F5F"/>
        </w:rPr>
        <w:t>Envases recubiertos con película protectora.</w:t>
      </w:r>
    </w:p>
    <w:p>
      <w:pPr>
        <w:pStyle w:val="BodyText"/>
        <w:spacing w:before="5"/>
        <w:rPr>
          <w:sz w:val="17"/>
        </w:rPr>
      </w:pPr>
    </w:p>
    <w:p>
      <w:pPr>
        <w:pStyle w:val="Heading1"/>
        <w:spacing w:before="0"/>
      </w:pPr>
      <w:r>
        <w:rPr>
          <w:color w:val="2C6AB6"/>
        </w:rPr>
        <w:t>Almacenamiento y transporte</w:t>
      </w:r>
    </w:p>
    <w:p>
      <w:pPr>
        <w:pStyle w:val="BodyText"/>
        <w:spacing w:before="4"/>
        <w:rPr>
          <w:b/>
          <w:sz w:val="17"/>
        </w:rPr>
      </w:pPr>
    </w:p>
    <w:p>
      <w:pPr>
        <w:pStyle w:val="BodyText"/>
        <w:spacing w:line="278" w:lineRule="auto" w:before="95"/>
        <w:ind w:left="104" w:right="3671"/>
        <w:jc w:val="both"/>
      </w:pPr>
      <w:r>
        <w:rPr>
          <w:color w:val="5F5F5F"/>
        </w:rPr>
        <w:t>LC Graphidox es almacenable sin limitaciones en su embalaje original. Debe evitarse su contacto con la humedad. Deben respetarse las normas que regulan las sustancias peligrosas. Para más información, rogamos consultar nuestra sección  de expedición. LC Graphidox es clasificado como mercancía no peligrosa según las normas de transporte.</w:t>
      </w:r>
    </w:p>
    <w:p>
      <w:pPr>
        <w:pStyle w:val="BodyText"/>
        <w:rPr>
          <w:sz w:val="20"/>
        </w:rPr>
      </w:pPr>
    </w:p>
    <w:p>
      <w:pPr>
        <w:pStyle w:val="BodyText"/>
        <w:spacing w:before="11"/>
        <w:rPr>
          <w:sz w:val="17"/>
        </w:rPr>
      </w:pPr>
    </w:p>
    <w:p>
      <w:pPr>
        <w:pStyle w:val="Heading2"/>
        <w:spacing w:line="242" w:lineRule="auto"/>
        <w:ind w:left="7216" w:right="907"/>
      </w:pPr>
      <w:r>
        <w:rPr>
          <w:color w:val="FFFFFF"/>
        </w:rPr>
        <w:t>Gestión de producto Metalurgia</w:t>
      </w:r>
    </w:p>
    <w:p>
      <w:pPr>
        <w:pStyle w:val="BodyText"/>
        <w:spacing w:before="5"/>
        <w:rPr>
          <w:b/>
          <w:sz w:val="19"/>
        </w:rPr>
      </w:pPr>
    </w:p>
    <w:p>
      <w:pPr>
        <w:pStyle w:val="BodyText"/>
        <w:spacing w:before="94"/>
        <w:ind w:right="113"/>
        <w:jc w:val="right"/>
      </w:pPr>
      <w:hyperlink r:id="rId6">
        <w:r>
          <w:rPr>
            <w:color w:val="2C6AB6"/>
          </w:rPr>
          <w:t>Info.Metallurgy-de@ask-chemicals.com</w:t>
        </w:r>
      </w:hyperlink>
    </w:p>
    <w:p>
      <w:pPr>
        <w:pStyle w:val="BodyText"/>
        <w:rPr>
          <w:sz w:val="20"/>
        </w:rPr>
      </w:pPr>
    </w:p>
    <w:p>
      <w:pPr>
        <w:pStyle w:val="BodyText"/>
        <w:spacing w:before="11"/>
        <w:rPr>
          <w:sz w:val="20"/>
        </w:rPr>
      </w:pPr>
    </w:p>
    <w:p>
      <w:pPr>
        <w:spacing w:line="237" w:lineRule="auto" w:before="96"/>
        <w:ind w:left="104" w:right="3809" w:firstLine="0"/>
        <w:jc w:val="both"/>
        <w:rPr>
          <w:sz w:val="14"/>
        </w:rPr>
      </w:pPr>
      <w:r>
        <w:rPr>
          <w:color w:val="5F5F5F"/>
          <w:sz w:val="14"/>
        </w:rPr>
        <w:t>La información contenida en este documento reflejan el estado actual de nuestros conocimientos y su propósito es informar sobre nuestros productos y sus usos. Por eso, su sentido no es garantizar propiedades particulares del producto o su idoneidad para un uso en particular ni contiene instrucciones completas de uso. Tampoco representa una garantía de calidad o durabilidad ni exime al usuario de verificar la idoneidad y las posibilidades de aplicación para los fines previstos. Todos los derechos existentes deben ser respetados. ASK Chemicals Metallurgy GmbH está certificada y cumple con los requisitos de las normas DIN EN ISO 9001, 14001, 50001 y OHRIS. Cuando se publique una nueva edición, el presente documento perderá su validez.</w:t>
      </w:r>
    </w:p>
    <w:p>
      <w:pPr>
        <w:pStyle w:val="BodyText"/>
        <w:spacing w:before="3"/>
      </w:pPr>
    </w:p>
    <w:p>
      <w:pPr>
        <w:tabs>
          <w:tab w:pos="1874" w:val="left" w:leader="none"/>
        </w:tabs>
        <w:spacing w:before="95"/>
        <w:ind w:left="0" w:right="1073" w:firstLine="0"/>
        <w:jc w:val="right"/>
        <w:rPr>
          <w:sz w:val="14"/>
        </w:rPr>
      </w:pPr>
      <w:r>
        <w:rPr/>
        <w:pict>
          <v:shapetype id="_x0000_t202" o:spt="202" coordsize="21600,21600" path="m,l,21600r21600,l21600,xe">
            <v:stroke joinstyle="miter"/>
            <v:path gradientshapeok="t" o:connecttype="rect"/>
          </v:shapetype>
          <v:shape style="position:absolute;margin-left:417.790009pt;margin-top:-1.464786pt;width:70.350pt;height:7.8pt;mso-position-horizontal-relative:page;mso-position-vertical-relative:paragraph;z-index:-251773952" type="#_x0000_t202" filled="false" stroked="false">
            <v:textbox inset="0,0,0,0">
              <w:txbxContent>
                <w:p>
                  <w:pPr>
                    <w:spacing w:line="156" w:lineRule="exact" w:before="0"/>
                    <w:ind w:left="0" w:right="0" w:firstLine="0"/>
                    <w:jc w:val="left"/>
                    <w:rPr>
                      <w:sz w:val="14"/>
                    </w:rPr>
                  </w:pPr>
                  <w:r>
                    <w:rPr>
                      <w:color w:val="5F5F5F"/>
                      <w:sz w:val="14"/>
                    </w:rPr>
                    <w:t>A septiembre de 2009</w:t>
                  </w:r>
                </w:p>
              </w:txbxContent>
            </v:textbox>
            <w10:wrap type="none"/>
          </v:shape>
        </w:pict>
      </w:r>
      <w:r>
        <w:rPr>
          <w:color w:val="5F5F5F"/>
          <w:sz w:val="14"/>
        </w:rPr>
        <w:t>Esdado: octubre</w:t>
      </w:r>
      <w:r>
        <w:rPr>
          <w:color w:val="5F5F5F"/>
          <w:spacing w:val="-4"/>
          <w:sz w:val="14"/>
        </w:rPr>
        <w:t> </w:t>
      </w:r>
      <w:r>
        <w:rPr>
          <w:color w:val="5F5F5F"/>
          <w:sz w:val="14"/>
        </w:rPr>
        <w:t>de</w:t>
      </w:r>
      <w:r>
        <w:rPr>
          <w:color w:val="5F5F5F"/>
          <w:spacing w:val="-2"/>
          <w:sz w:val="14"/>
        </w:rPr>
        <w:t> </w:t>
      </w:r>
      <w:r>
        <w:rPr>
          <w:color w:val="5F5F5F"/>
          <w:sz w:val="14"/>
        </w:rPr>
        <w:t>2015</w:t>
        <w:tab/>
        <w:t>Rev.</w:t>
      </w:r>
      <w:r>
        <w:rPr>
          <w:color w:val="5F5F5F"/>
          <w:spacing w:val="-2"/>
          <w:sz w:val="14"/>
        </w:rPr>
        <w:t> </w:t>
      </w:r>
      <w:r>
        <w:rPr>
          <w:color w:val="5F5F5F"/>
          <w:sz w:val="14"/>
        </w:rPr>
        <w:t>2.0</w:t>
      </w:r>
    </w:p>
    <w:p>
      <w:pPr>
        <w:pStyle w:val="BodyText"/>
        <w:spacing w:before="2"/>
        <w:rPr>
          <w:sz w:val="12"/>
        </w:rPr>
      </w:pPr>
    </w:p>
    <w:p>
      <w:pPr>
        <w:spacing w:before="95"/>
        <w:ind w:left="318" w:right="0" w:firstLine="0"/>
        <w:jc w:val="left"/>
        <w:rPr>
          <w:b/>
          <w:sz w:val="16"/>
        </w:rPr>
      </w:pPr>
      <w:r>
        <w:rPr>
          <w:b/>
          <w:color w:val="808080"/>
          <w:sz w:val="16"/>
        </w:rPr>
        <w:t>ASK Chemicals Metallurgy GmbH </w:t>
      </w:r>
      <w:r>
        <w:rPr>
          <w:color w:val="17365D"/>
          <w:sz w:val="16"/>
        </w:rPr>
        <w:t>| </w:t>
      </w:r>
      <w:r>
        <w:rPr>
          <w:color w:val="808080"/>
          <w:sz w:val="16"/>
        </w:rPr>
        <w:t>Fabrikstr. 6 </w:t>
      </w:r>
      <w:r>
        <w:rPr>
          <w:color w:val="17365D"/>
          <w:sz w:val="16"/>
        </w:rPr>
        <w:t>| </w:t>
      </w:r>
      <w:r>
        <w:rPr>
          <w:color w:val="808080"/>
          <w:sz w:val="16"/>
        </w:rPr>
        <w:t>84579 Unterneukirchen </w:t>
      </w:r>
      <w:r>
        <w:rPr>
          <w:color w:val="17365D"/>
          <w:sz w:val="16"/>
        </w:rPr>
        <w:t>| </w:t>
      </w:r>
      <w:r>
        <w:rPr>
          <w:color w:val="808080"/>
          <w:sz w:val="16"/>
        </w:rPr>
        <w:t>Tel. +49 8634 6174-08 </w:t>
      </w:r>
      <w:r>
        <w:rPr>
          <w:color w:val="17365D"/>
          <w:sz w:val="16"/>
        </w:rPr>
        <w:t>| </w:t>
      </w:r>
      <w:hyperlink r:id="rId7">
        <w:r>
          <w:rPr>
            <w:b/>
            <w:color w:val="808080"/>
            <w:sz w:val="16"/>
          </w:rPr>
          <w:t>www.ask-chemicals.com</w:t>
        </w:r>
      </w:hyperlink>
    </w:p>
    <w:sectPr>
      <w:type w:val="continuous"/>
      <w:pgSz w:w="11910" w:h="16840"/>
      <w:pgMar w:top="60" w:bottom="0" w:left="11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27" w:hanging="222"/>
      </w:pPr>
      <w:rPr>
        <w:rFonts w:hint="default" w:ascii="Arial" w:hAnsi="Arial" w:eastAsia="Arial" w:cs="Arial"/>
        <w:color w:val="5F5F5F"/>
        <w:spacing w:val="-3"/>
        <w:w w:val="99"/>
        <w:sz w:val="18"/>
        <w:szCs w:val="18"/>
        <w:lang w:val="de-DE" w:eastAsia="de-DE" w:bidi="de-DE"/>
      </w:rPr>
    </w:lvl>
    <w:lvl w:ilvl="1">
      <w:start w:val="0"/>
      <w:numFmt w:val="bullet"/>
      <w:lvlText w:val="•"/>
      <w:lvlJc w:val="left"/>
      <w:pPr>
        <w:ind w:left="1336" w:hanging="222"/>
      </w:pPr>
      <w:rPr>
        <w:rFonts w:hint="default"/>
        <w:lang w:val="de-DE" w:eastAsia="de-DE" w:bidi="de-DE"/>
      </w:rPr>
    </w:lvl>
    <w:lvl w:ilvl="2">
      <w:start w:val="0"/>
      <w:numFmt w:val="bullet"/>
      <w:lvlText w:val="•"/>
      <w:lvlJc w:val="left"/>
      <w:pPr>
        <w:ind w:left="2353" w:hanging="222"/>
      </w:pPr>
      <w:rPr>
        <w:rFonts w:hint="default"/>
        <w:lang w:val="de-DE" w:eastAsia="de-DE" w:bidi="de-DE"/>
      </w:rPr>
    </w:lvl>
    <w:lvl w:ilvl="3">
      <w:start w:val="0"/>
      <w:numFmt w:val="bullet"/>
      <w:lvlText w:val="•"/>
      <w:lvlJc w:val="left"/>
      <w:pPr>
        <w:ind w:left="3369" w:hanging="222"/>
      </w:pPr>
      <w:rPr>
        <w:rFonts w:hint="default"/>
        <w:lang w:val="de-DE" w:eastAsia="de-DE" w:bidi="de-DE"/>
      </w:rPr>
    </w:lvl>
    <w:lvl w:ilvl="4">
      <w:start w:val="0"/>
      <w:numFmt w:val="bullet"/>
      <w:lvlText w:val="•"/>
      <w:lvlJc w:val="left"/>
      <w:pPr>
        <w:ind w:left="4386" w:hanging="222"/>
      </w:pPr>
      <w:rPr>
        <w:rFonts w:hint="default"/>
        <w:lang w:val="de-DE" w:eastAsia="de-DE" w:bidi="de-DE"/>
      </w:rPr>
    </w:lvl>
    <w:lvl w:ilvl="5">
      <w:start w:val="0"/>
      <w:numFmt w:val="bullet"/>
      <w:lvlText w:val="•"/>
      <w:lvlJc w:val="left"/>
      <w:pPr>
        <w:ind w:left="5403" w:hanging="222"/>
      </w:pPr>
      <w:rPr>
        <w:rFonts w:hint="default"/>
        <w:lang w:val="de-DE" w:eastAsia="de-DE" w:bidi="de-DE"/>
      </w:rPr>
    </w:lvl>
    <w:lvl w:ilvl="6">
      <w:start w:val="0"/>
      <w:numFmt w:val="bullet"/>
      <w:lvlText w:val="•"/>
      <w:lvlJc w:val="left"/>
      <w:pPr>
        <w:ind w:left="6419" w:hanging="222"/>
      </w:pPr>
      <w:rPr>
        <w:rFonts w:hint="default"/>
        <w:lang w:val="de-DE" w:eastAsia="de-DE" w:bidi="de-DE"/>
      </w:rPr>
    </w:lvl>
    <w:lvl w:ilvl="7">
      <w:start w:val="0"/>
      <w:numFmt w:val="bullet"/>
      <w:lvlText w:val="•"/>
      <w:lvlJc w:val="left"/>
      <w:pPr>
        <w:ind w:left="7436" w:hanging="222"/>
      </w:pPr>
      <w:rPr>
        <w:rFonts w:hint="default"/>
        <w:lang w:val="de-DE" w:eastAsia="de-DE" w:bidi="de-DE"/>
      </w:rPr>
    </w:lvl>
    <w:lvl w:ilvl="8">
      <w:start w:val="0"/>
      <w:numFmt w:val="bullet"/>
      <w:lvlText w:val="•"/>
      <w:lvlJc w:val="left"/>
      <w:pPr>
        <w:ind w:left="8453" w:hanging="222"/>
      </w:pPr>
      <w:rPr>
        <w:rFonts w:hint="default"/>
        <w:lang w:val="de-DE" w:eastAsia="de-DE" w:bidi="de-DE"/>
      </w:rPr>
    </w:lvl>
  </w:abstractNum>
  <w:abstractNum w:abstractNumId="0">
    <w:multiLevelType w:val="hybridMultilevel"/>
    <w:lvl w:ilvl="0">
      <w:start w:val="0"/>
      <w:numFmt w:val="bullet"/>
      <w:lvlText w:val=""/>
      <w:lvlJc w:val="left"/>
      <w:pPr>
        <w:ind w:left="804" w:hanging="636"/>
      </w:pPr>
      <w:rPr>
        <w:rFonts w:hint="default" w:ascii="Symbol" w:hAnsi="Symbol" w:eastAsia="Symbol" w:cs="Symbol"/>
        <w:color w:val="5F5F5F"/>
        <w:w w:val="99"/>
        <w:sz w:val="20"/>
        <w:szCs w:val="20"/>
        <w:lang w:val="de-DE" w:eastAsia="de-DE" w:bidi="de-DE"/>
      </w:rPr>
    </w:lvl>
    <w:lvl w:ilvl="1">
      <w:start w:val="0"/>
      <w:numFmt w:val="bullet"/>
      <w:lvlText w:val="•"/>
      <w:lvlJc w:val="left"/>
      <w:pPr>
        <w:ind w:left="1051" w:hanging="636"/>
      </w:pPr>
      <w:rPr>
        <w:rFonts w:hint="default"/>
        <w:lang w:val="de-DE" w:eastAsia="de-DE" w:bidi="de-DE"/>
      </w:rPr>
    </w:lvl>
    <w:lvl w:ilvl="2">
      <w:start w:val="0"/>
      <w:numFmt w:val="bullet"/>
      <w:lvlText w:val="•"/>
      <w:lvlJc w:val="left"/>
      <w:pPr>
        <w:ind w:left="1302" w:hanging="636"/>
      </w:pPr>
      <w:rPr>
        <w:rFonts w:hint="default"/>
        <w:lang w:val="de-DE" w:eastAsia="de-DE" w:bidi="de-DE"/>
      </w:rPr>
    </w:lvl>
    <w:lvl w:ilvl="3">
      <w:start w:val="0"/>
      <w:numFmt w:val="bullet"/>
      <w:lvlText w:val="•"/>
      <w:lvlJc w:val="left"/>
      <w:pPr>
        <w:ind w:left="1554" w:hanging="636"/>
      </w:pPr>
      <w:rPr>
        <w:rFonts w:hint="default"/>
        <w:lang w:val="de-DE" w:eastAsia="de-DE" w:bidi="de-DE"/>
      </w:rPr>
    </w:lvl>
    <w:lvl w:ilvl="4">
      <w:start w:val="0"/>
      <w:numFmt w:val="bullet"/>
      <w:lvlText w:val="•"/>
      <w:lvlJc w:val="left"/>
      <w:pPr>
        <w:ind w:left="1805" w:hanging="636"/>
      </w:pPr>
      <w:rPr>
        <w:rFonts w:hint="default"/>
        <w:lang w:val="de-DE" w:eastAsia="de-DE" w:bidi="de-DE"/>
      </w:rPr>
    </w:lvl>
    <w:lvl w:ilvl="5">
      <w:start w:val="0"/>
      <w:numFmt w:val="bullet"/>
      <w:lvlText w:val="•"/>
      <w:lvlJc w:val="left"/>
      <w:pPr>
        <w:ind w:left="2056" w:hanging="636"/>
      </w:pPr>
      <w:rPr>
        <w:rFonts w:hint="default"/>
        <w:lang w:val="de-DE" w:eastAsia="de-DE" w:bidi="de-DE"/>
      </w:rPr>
    </w:lvl>
    <w:lvl w:ilvl="6">
      <w:start w:val="0"/>
      <w:numFmt w:val="bullet"/>
      <w:lvlText w:val="•"/>
      <w:lvlJc w:val="left"/>
      <w:pPr>
        <w:ind w:left="2308" w:hanging="636"/>
      </w:pPr>
      <w:rPr>
        <w:rFonts w:hint="default"/>
        <w:lang w:val="de-DE" w:eastAsia="de-DE" w:bidi="de-DE"/>
      </w:rPr>
    </w:lvl>
    <w:lvl w:ilvl="7">
      <w:start w:val="0"/>
      <w:numFmt w:val="bullet"/>
      <w:lvlText w:val="•"/>
      <w:lvlJc w:val="left"/>
      <w:pPr>
        <w:ind w:left="2559" w:hanging="636"/>
      </w:pPr>
      <w:rPr>
        <w:rFonts w:hint="default"/>
        <w:lang w:val="de-DE" w:eastAsia="de-DE" w:bidi="de-DE"/>
      </w:rPr>
    </w:lvl>
    <w:lvl w:ilvl="8">
      <w:start w:val="0"/>
      <w:numFmt w:val="bullet"/>
      <w:lvlText w:val="•"/>
      <w:lvlJc w:val="left"/>
      <w:pPr>
        <w:ind w:left="2811" w:hanging="636"/>
      </w:pPr>
      <w:rPr>
        <w:rFonts w:hint="default"/>
        <w:lang w:val="de-DE" w:eastAsia="de-DE" w:bidi="de-DE"/>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de-DE" w:bidi="de-DE"/>
    </w:rPr>
  </w:style>
  <w:style w:styleId="BodyText" w:type="paragraph">
    <w:name w:val="Body Text"/>
    <w:basedOn w:val="Normal"/>
    <w:uiPriority w:val="1"/>
    <w:qFormat/>
    <w:pPr/>
    <w:rPr>
      <w:rFonts w:ascii="Arial" w:hAnsi="Arial" w:eastAsia="Arial" w:cs="Arial"/>
      <w:sz w:val="18"/>
      <w:szCs w:val="18"/>
      <w:lang w:val="de-DE" w:eastAsia="de-DE" w:bidi="de-DE"/>
    </w:rPr>
  </w:style>
  <w:style w:styleId="Heading1" w:type="paragraph">
    <w:name w:val="Heading 1"/>
    <w:basedOn w:val="Normal"/>
    <w:uiPriority w:val="1"/>
    <w:qFormat/>
    <w:pPr>
      <w:spacing w:before="1"/>
      <w:ind w:left="125"/>
      <w:outlineLvl w:val="1"/>
    </w:pPr>
    <w:rPr>
      <w:rFonts w:ascii="Arial" w:hAnsi="Arial" w:eastAsia="Arial" w:cs="Arial"/>
      <w:b/>
      <w:bCs/>
      <w:sz w:val="26"/>
      <w:szCs w:val="26"/>
      <w:lang w:val="de-DE" w:eastAsia="de-DE" w:bidi="de-DE"/>
    </w:rPr>
  </w:style>
  <w:style w:styleId="Heading2" w:type="paragraph">
    <w:name w:val="Heading 2"/>
    <w:basedOn w:val="Normal"/>
    <w:uiPriority w:val="1"/>
    <w:qFormat/>
    <w:pPr>
      <w:spacing w:before="92"/>
      <w:ind w:left="125"/>
      <w:outlineLvl w:val="2"/>
    </w:pPr>
    <w:rPr>
      <w:rFonts w:ascii="Arial" w:hAnsi="Arial" w:eastAsia="Arial" w:cs="Arial"/>
      <w:b/>
      <w:bCs/>
      <w:sz w:val="24"/>
      <w:szCs w:val="24"/>
      <w:lang w:val="de-DE" w:eastAsia="de-DE" w:bidi="de-DE"/>
    </w:rPr>
  </w:style>
  <w:style w:styleId="Heading3" w:type="paragraph">
    <w:name w:val="Heading 3"/>
    <w:basedOn w:val="Normal"/>
    <w:uiPriority w:val="1"/>
    <w:qFormat/>
    <w:pPr>
      <w:ind w:left="804" w:hanging="680"/>
      <w:outlineLvl w:val="3"/>
    </w:pPr>
    <w:rPr>
      <w:rFonts w:ascii="Arial" w:hAnsi="Arial" w:eastAsia="Arial" w:cs="Arial"/>
      <w:sz w:val="20"/>
      <w:szCs w:val="20"/>
      <w:lang w:val="de-DE" w:eastAsia="de-DE" w:bidi="de-DE"/>
    </w:rPr>
  </w:style>
  <w:style w:styleId="ListParagraph" w:type="paragraph">
    <w:name w:val="List Paragraph"/>
    <w:basedOn w:val="Normal"/>
    <w:uiPriority w:val="1"/>
    <w:qFormat/>
    <w:pPr>
      <w:spacing w:before="33"/>
      <w:ind w:left="804" w:hanging="680"/>
    </w:pPr>
    <w:rPr>
      <w:rFonts w:ascii="Arial" w:hAnsi="Arial" w:eastAsia="Arial" w:cs="Arial"/>
      <w:lang w:val="de-DE" w:eastAsia="de-DE" w:bidi="de-DE"/>
    </w:rPr>
  </w:style>
  <w:style w:styleId="TableParagraph" w:type="paragraph">
    <w:name w:val="Table Paragraph"/>
    <w:basedOn w:val="Normal"/>
    <w:uiPriority w:val="1"/>
    <w:qFormat/>
    <w:pPr/>
    <w:rP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Info.Metallurgy-de@ask-chemicals.com" TargetMode="External"/><Relationship Id="rId7" Type="http://schemas.openxmlformats.org/officeDocument/2006/relationships/hyperlink" Target="http://www.ask-chemicals.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Eschenlohr</dc:creator>
  <dc:title>SMW 605</dc:title>
  <dcterms:created xsi:type="dcterms:W3CDTF">2022-12-14T12:05:38Z</dcterms:created>
  <dcterms:modified xsi:type="dcterms:W3CDTF">2022-12-14T12:05:38Z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Creator">
    <vt:lpwstr>Microsoft® Word 2010</vt:lpwstr>
  </property>
  <property fmtid="{D5CDD505-2E9C-101B-9397-08002B2CF9AE}" pid="4" name="LastSaved">
    <vt:filetime>2022-12-14T00:00:00Z</vt:filetime>
  </property>
</Properties>
</file>